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384B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B209D1">
        <w:rPr>
          <w:rFonts w:ascii="Verdana" w:hAnsi="Verdana"/>
          <w:b/>
          <w:color w:val="000000"/>
          <w:sz w:val="32"/>
          <w:lang w:val="ru-RU"/>
        </w:rPr>
        <w:t>Тексты</w:t>
      </w:r>
    </w:p>
    <w:p w14:paraId="036AA40C" w14:textId="2F49A78A" w:rsidR="00B209D1" w:rsidRPr="00B209D1" w:rsidRDefault="00B209D1" w:rsidP="00B209D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B209D1">
        <w:rPr>
          <w:rFonts w:ascii="Verdana" w:hAnsi="Verdana"/>
          <w:color w:val="000000"/>
          <w:lang w:val="ru-RU"/>
        </w:rPr>
        <w:t>Хорхе Луис Борхес</w:t>
      </w:r>
    </w:p>
    <w:p w14:paraId="22F52160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D2416D5" w14:textId="00257CF1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Неравной ценности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поскольку они, очевидно, вышли из сотен и тысяч разнородных перьев,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 xml:space="preserve">тексты танго, созданные вдохновением или ремеслом, за полвека составили почти нераспутываемый поэтический корпус, </w:t>
      </w:r>
      <w:r w:rsidRPr="00B209D1">
        <w:rPr>
          <w:rFonts w:ascii="Verdana" w:hAnsi="Verdana"/>
          <w:color w:val="000000"/>
          <w:sz w:val="20"/>
        </w:rPr>
        <w:t>corpus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poeticum</w:t>
      </w:r>
      <w:r w:rsidRPr="00B209D1">
        <w:rPr>
          <w:rFonts w:ascii="Verdana" w:hAnsi="Verdana"/>
          <w:color w:val="000000"/>
          <w:sz w:val="20"/>
          <w:lang w:val="ru-RU"/>
        </w:rPr>
        <w:t>, который историки аргентинской литературы прочтут или, во всяком случае, защитят. Народное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всякий раз, когда народ уже его не понимает, когда годы успели сделать его старинным,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добивается ностальгического почитания учёных и допускает полемики и глоссарии; вполне правдоподобно, что около 1990 года возникнет подозрение или уверенность, будто истинная поэзия нашего времени находится не в «</w:t>
      </w:r>
      <w:r w:rsidRPr="00B209D1">
        <w:rPr>
          <w:rFonts w:ascii="Verdana" w:hAnsi="Verdana"/>
          <w:color w:val="000000"/>
          <w:sz w:val="20"/>
        </w:rPr>
        <w:t>La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urna</w:t>
      </w:r>
      <w:r w:rsidRPr="00B209D1">
        <w:rPr>
          <w:rFonts w:ascii="Verdana" w:hAnsi="Verdana"/>
          <w:color w:val="000000"/>
          <w:sz w:val="20"/>
          <w:lang w:val="ru-RU"/>
        </w:rPr>
        <w:t>» Банчса и не в «</w:t>
      </w:r>
      <w:r w:rsidRPr="00B209D1">
        <w:rPr>
          <w:rFonts w:ascii="Verdana" w:hAnsi="Verdana"/>
          <w:color w:val="000000"/>
          <w:sz w:val="20"/>
        </w:rPr>
        <w:t>Luz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de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provincia</w:t>
      </w:r>
      <w:r w:rsidRPr="00B209D1">
        <w:rPr>
          <w:rFonts w:ascii="Verdana" w:hAnsi="Verdana"/>
          <w:color w:val="000000"/>
          <w:sz w:val="20"/>
          <w:lang w:val="ru-RU"/>
        </w:rPr>
        <w:t>» Мастронарди, а в несовершенных пьесах, хранящихся в «</w:t>
      </w:r>
      <w:r w:rsidRPr="00B209D1">
        <w:rPr>
          <w:rFonts w:ascii="Verdana" w:hAnsi="Verdana"/>
          <w:color w:val="000000"/>
          <w:sz w:val="20"/>
        </w:rPr>
        <w:t>El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alma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que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canta</w:t>
      </w:r>
      <w:r w:rsidRPr="00B209D1">
        <w:rPr>
          <w:rFonts w:ascii="Verdana" w:hAnsi="Verdana"/>
          <w:color w:val="000000"/>
          <w:sz w:val="20"/>
          <w:lang w:val="ru-RU"/>
        </w:rPr>
        <w:t>». Это предположение меланхолично. Виновная небрежность помешала мне приобрести и изучить этот хаотический репертуар, но я не отрицаю его разнообразия и растущего круга его тем. Сначала у танго не было текста или текст был непристойным и случайным. У некоторых он был сельским:</w:t>
      </w:r>
    </w:p>
    <w:p w14:paraId="3936DB01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425F414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Я верная подруга</w:t>
      </w:r>
    </w:p>
    <w:p w14:paraId="5C8CC53D" w14:textId="087C8AB6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благородного портеньского гаучо,</w:t>
      </w:r>
    </w:p>
    <w:p w14:paraId="2CE225B6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F77A987" w14:textId="7ACD766E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потому что композиторы искали народное, а дурная жизнь и предместья тогда ещё не были поэтическим материалом. Другие, как родственная милонга, были весёлыми и броскими похвальбами:</w:t>
      </w:r>
    </w:p>
    <w:p w14:paraId="37454675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6BB0E63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В танго я такой мастак,</w:t>
      </w:r>
    </w:p>
    <w:p w14:paraId="72C49463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что, когда делаю двойную фигуру,</w:t>
      </w:r>
    </w:p>
    <w:p w14:paraId="3DAD4B18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молва идёт по Северу,</w:t>
      </w:r>
    </w:p>
    <w:p w14:paraId="4CAF56E4" w14:textId="77ACD0F0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если я оказываюсь на Юге.</w:t>
      </w:r>
    </w:p>
    <w:p w14:paraId="3BD8909B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DA5412A" w14:textId="7E30693D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Позднее жанр стал рассказывать, как некоторые романы французского натурализма или некоторые гравюры Хогарта, о местных перипетиях пути падшей женщины:</w:t>
      </w:r>
    </w:p>
    <w:p w14:paraId="22424EAF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4B87E23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Потом ты стала подружкой</w:t>
      </w:r>
    </w:p>
    <w:p w14:paraId="3BE6821B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старого аптекаря,</w:t>
      </w:r>
    </w:p>
    <w:p w14:paraId="22829FEA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а сын комиссара</w:t>
      </w:r>
    </w:p>
    <w:p w14:paraId="47C1EE61" w14:textId="64D15D6C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вытянул у тебя все деньги.</w:t>
      </w:r>
    </w:p>
    <w:p w14:paraId="4EF9EDDF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5E2DE78" w14:textId="65276498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Затем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об оплакиваемом обращении драчливых или бедных кварталов к приличию:</w:t>
      </w:r>
    </w:p>
    <w:p w14:paraId="334AFA3B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F438686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</w:rPr>
        <w:t>Puente</w:t>
      </w: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i/>
          <w:iCs/>
          <w:color w:val="000000"/>
          <w:sz w:val="20"/>
        </w:rPr>
        <w:t>Alsina</w:t>
      </w:r>
      <w:r w:rsidRPr="00B209D1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1B7D9CA1" w14:textId="5E6E6932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где теперь та лихая шпана?</w:t>
      </w:r>
    </w:p>
    <w:p w14:paraId="4CC6931B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CEE89DB" w14:textId="79065AE1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или:</w:t>
      </w:r>
    </w:p>
    <w:p w14:paraId="03D97569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9FE64BF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Где те мужчины и те девки,</w:t>
      </w:r>
    </w:p>
    <w:p w14:paraId="3584BD8E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красные повязки и шляпы, которых знал Рекена?</w:t>
      </w:r>
    </w:p>
    <w:p w14:paraId="0C3F2AE6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Где моя </w:t>
      </w:r>
      <w:r w:rsidRPr="00B209D1">
        <w:rPr>
          <w:rFonts w:ascii="Verdana" w:hAnsi="Verdana"/>
          <w:i/>
          <w:iCs/>
          <w:color w:val="000000"/>
          <w:sz w:val="20"/>
        </w:rPr>
        <w:t>Villa</w:t>
      </w: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i/>
          <w:iCs/>
          <w:color w:val="000000"/>
          <w:sz w:val="20"/>
        </w:rPr>
        <w:t>Crespo</w:t>
      </w: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 прежних времён?</w:t>
      </w:r>
    </w:p>
    <w:p w14:paraId="262B6755" w14:textId="4068B6F2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Пришли евреи, </w:t>
      </w:r>
      <w:r w:rsidRPr="00B209D1">
        <w:rPr>
          <w:rFonts w:ascii="Verdana" w:hAnsi="Verdana"/>
          <w:i/>
          <w:iCs/>
          <w:color w:val="000000"/>
          <w:sz w:val="20"/>
        </w:rPr>
        <w:t>Triunvirato</w:t>
      </w:r>
      <w:r w:rsidRPr="00B209D1">
        <w:rPr>
          <w:rFonts w:ascii="Verdana" w:hAnsi="Verdana"/>
          <w:i/>
          <w:iCs/>
          <w:color w:val="000000"/>
          <w:sz w:val="20"/>
          <w:lang w:val="ru-RU"/>
        </w:rPr>
        <w:t xml:space="preserve"> пропал.</w:t>
      </w:r>
    </w:p>
    <w:p w14:paraId="06A3F15F" w14:textId="77777777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A27FA5F" w14:textId="5A6F8454" w:rsid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С очень раннего времени тревоги тайной или сентиментальной любви занимали перья:</w:t>
      </w:r>
    </w:p>
    <w:p w14:paraId="03347AE9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0B3E303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Разве не помнишь, как со мной</w:t>
      </w:r>
    </w:p>
    <w:p w14:paraId="2E41743E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ты надела шляпу</w:t>
      </w:r>
    </w:p>
    <w:p w14:paraId="6894CB57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и тот кожаный пояс,</w:t>
      </w:r>
    </w:p>
    <w:p w14:paraId="1ABD0E31" w14:textId="0F5C01CF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209D1">
        <w:rPr>
          <w:rFonts w:ascii="Verdana" w:hAnsi="Verdana"/>
          <w:i/>
          <w:iCs/>
          <w:color w:val="000000"/>
          <w:sz w:val="20"/>
          <w:lang w:val="ru-RU"/>
        </w:rPr>
        <w:t>который я украл у другой девицы?</w:t>
      </w:r>
    </w:p>
    <w:p w14:paraId="57BE086A" w14:textId="77777777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1D6350E" w14:textId="27874AEB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Писались танго упрёка, танго ненависти, танго насмешки и злобы, плохо поддающиеся переписыванию и памяти. Весь городской оборот входил в танго; дурная жизнь и предместье не были единственными темами. В предисловии к сатирам Ювенал памятно написал, что всё, что движет людьми,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желание, страх, гнев, плотская радость, интриги, счастье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 xml:space="preserve">будет материалом его книги; с простительной преувеличенностью мы могли бы применить его знаменитое </w:t>
      </w:r>
      <w:r w:rsidRPr="00B209D1">
        <w:rPr>
          <w:rFonts w:ascii="Verdana" w:hAnsi="Verdana"/>
          <w:color w:val="000000"/>
          <w:sz w:val="20"/>
        </w:rPr>
        <w:t>quidquid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agunt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homines</w:t>
      </w:r>
      <w:r w:rsidRPr="00B209D1">
        <w:rPr>
          <w:rFonts w:ascii="Verdana" w:hAnsi="Verdana"/>
          <w:color w:val="000000"/>
          <w:sz w:val="20"/>
          <w:lang w:val="ru-RU"/>
        </w:rPr>
        <w:t xml:space="preserve"> к сумме текстов танго. Мы могли бы также сказать, что они образуют бессвязную и обширную «человеческую комедию» жизни Буэнос-Айреса. Известно, что Вольф в конце </w:t>
      </w:r>
      <w:r w:rsidRPr="00B209D1">
        <w:rPr>
          <w:rFonts w:ascii="Verdana" w:hAnsi="Verdana"/>
          <w:color w:val="000000"/>
          <w:sz w:val="20"/>
        </w:rPr>
        <w:t>XVIII</w:t>
      </w:r>
      <w:r w:rsidRPr="00B209D1">
        <w:rPr>
          <w:rFonts w:ascii="Verdana" w:hAnsi="Verdana"/>
          <w:color w:val="000000"/>
          <w:sz w:val="20"/>
          <w:lang w:val="ru-RU"/>
        </w:rPr>
        <w:t xml:space="preserve"> века написал: «Илиада», прежде чем стать эпопеей, была рядом песен и рапсодий; это, быть может, позволяет предсказать, что тексты танго со временем образуют длинную гражданскую поэму или внушат какому-нибудь честолюбцу написать такую поэму.</w:t>
      </w:r>
    </w:p>
    <w:p w14:paraId="71BE5052" w14:textId="39E46A3A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Известно мнение Эндрю Флетчера: «Если мне позволят писать все баллады народа, мне всё равно, кто будет писать его законы»; это суждение предполагает, что общая или традиционная поэзия может влиять на чувства и диктовать поведение. Применив эту догадку к аргентинскому танго, мы увидели бы в нём зеркало нашей действительности и одновременно наставника или образец, влияние которого, конечно, зловредно. Милонга и танго у истоков могли быть глупыми или, по меньшей мере, безрассудными, но они были храбрыми и весёлыми; позднейшее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обиженный человек, который с сентиментальной роскошью оплакивает собственные несчастья и бесстыдно празднует чужие.</w:t>
      </w:r>
    </w:p>
    <w:p w14:paraId="2D1C4BC2" w14:textId="0C482D4A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Помню, около 1926 года я был склонен приписывать итальянцам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 xml:space="preserve">и точнее, генуэзцам квартала </w:t>
      </w:r>
      <w:r w:rsidRPr="00B209D1">
        <w:rPr>
          <w:rFonts w:ascii="Verdana" w:hAnsi="Verdana"/>
          <w:color w:val="000000"/>
          <w:sz w:val="20"/>
        </w:rPr>
        <w:t>La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Boca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вырождение танго. В этом мифе или фантазии о «креольском» танго, испорченном «грингос», я теперь вижу ясный симптом некоторых националистических ересей, которые позднее опустошили мир,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под воздействием грингос, разумеется. Не бандонеон, который я однажды прозвал трусливым, не старательные композиторы речного предместья сделали танго тем, чем оно стало, а вся Республика. Кроме того, старых креолов, породивших танго, звали Бевилаква, Греко или де Басси…</w:t>
      </w:r>
    </w:p>
    <w:p w14:paraId="31930F98" w14:textId="58FA4E18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На моё очернение танго нынешнего этапа кто-нибудь захочет возразить, что переход от храбрости или бахвальства к печали не обязательно виновен и может быть признаком зрелости. Мой воображаемый противник вполне может добавить, что невинный и храбрый Аскасуби относится к жалобному Эрнандесу так же, как первое танго к последнему, и что никто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кроме, быть может, Хорхе Луиса Борхеса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не решился вывести из этого уменьшения счастья, что «Мартин Фьерро» ниже «Паулино Лусеро». Ответ прост: различие не только в тоне удовольствия, но и в нравственном тоне. В повседневном танго Буэнос-Айреса, в танго семейных вечеров и приличных кондитерских, есть банальная подлость, привкус бесчестья, которого даже не подозревали танго ножа и публичного дома.</w:t>
      </w:r>
    </w:p>
    <w:p w14:paraId="71CA03F2" w14:textId="5A1B5C8E" w:rsidR="00B209D1" w:rsidRPr="00B209D1" w:rsidRDefault="00B209D1" w:rsidP="00B209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209D1">
        <w:rPr>
          <w:rFonts w:ascii="Verdana" w:hAnsi="Verdana"/>
          <w:color w:val="000000"/>
          <w:sz w:val="20"/>
          <w:lang w:val="ru-RU"/>
        </w:rPr>
        <w:t>Музыкально танго, вероятно, не должно быть важным; его единственная важность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та, которую мы ему придаём. Размышление справедливо, но, возможно, применимо ко всем вещам. К нашей личной смерти, например, или к женщине, которая нас отвергает… Танго можно обсуждать, и мы его обсуждаем, но оно заключает в себе, как всё подлинное, тайну. Музыкальные словари приводят, с всеобщего согласия, его краткое и достаточное определение; это определение элементарно и не обещает трудностей, но французский или испанский композитор, который, доверившись ему, правильно сочиняет «танго», с немалым изумлением обнаруживает, что сочинил нечто такое, чего наши уши не признают, что наша память не принимает и что наше тело отвергает. Можно было бы сказать, что без вечеров и ночей Буэнос-Айреса танго создать нельзя и что на небе нас, аргентинцев, ждёт платоновская идея танго, его всеобщая форма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та форма, которую едва по буквам произносят «</w:t>
      </w:r>
      <w:r w:rsidRPr="00B209D1">
        <w:rPr>
          <w:rFonts w:ascii="Verdana" w:hAnsi="Verdana"/>
          <w:color w:val="000000"/>
          <w:sz w:val="20"/>
        </w:rPr>
        <w:t>La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Tablada</w:t>
      </w:r>
      <w:r w:rsidRPr="00B209D1">
        <w:rPr>
          <w:rFonts w:ascii="Verdana" w:hAnsi="Verdana"/>
          <w:color w:val="000000"/>
          <w:sz w:val="20"/>
          <w:lang w:val="ru-RU"/>
        </w:rPr>
        <w:t>» или «</w:t>
      </w:r>
      <w:r w:rsidRPr="00B209D1">
        <w:rPr>
          <w:rFonts w:ascii="Verdana" w:hAnsi="Verdana"/>
          <w:color w:val="000000"/>
          <w:sz w:val="20"/>
        </w:rPr>
        <w:t>El</w:t>
      </w:r>
      <w:r w:rsidRPr="00B209D1">
        <w:rPr>
          <w:rFonts w:ascii="Verdana" w:hAnsi="Verdana"/>
          <w:color w:val="000000"/>
          <w:sz w:val="20"/>
          <w:lang w:val="ru-RU"/>
        </w:rPr>
        <w:t xml:space="preserve"> </w:t>
      </w:r>
      <w:r w:rsidRPr="00B209D1">
        <w:rPr>
          <w:rFonts w:ascii="Verdana" w:hAnsi="Verdana"/>
          <w:color w:val="000000"/>
          <w:sz w:val="20"/>
        </w:rPr>
        <w:t>Choclo</w:t>
      </w:r>
      <w:r w:rsidRPr="00B209D1">
        <w:rPr>
          <w:rFonts w:ascii="Verdana" w:hAnsi="Verdana"/>
          <w:color w:val="000000"/>
          <w:sz w:val="20"/>
          <w:lang w:val="ru-RU"/>
        </w:rPr>
        <w:t>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209D1">
        <w:rPr>
          <w:rFonts w:ascii="Verdana" w:hAnsi="Verdana"/>
          <w:color w:val="000000"/>
          <w:sz w:val="20"/>
          <w:lang w:val="ru-RU"/>
        </w:rPr>
        <w:t>и что этот счастливый вид, хотя и скромный, имеет своё место во вселенной.</w:t>
      </w:r>
    </w:p>
    <w:p w14:paraId="7B2288DD" w14:textId="6659601C" w:rsidR="00F15BDB" w:rsidRPr="00B209D1" w:rsidRDefault="00F15BDB" w:rsidP="00B209D1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F15BDB" w:rsidRPr="00B209D1" w:rsidSect="00B209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073" w14:textId="77777777" w:rsidR="006130F5" w:rsidRDefault="006130F5" w:rsidP="0004051B">
      <w:pPr>
        <w:spacing w:after="0" w:line="240" w:lineRule="auto"/>
      </w:pPr>
      <w:r>
        <w:separator/>
      </w:r>
    </w:p>
  </w:endnote>
  <w:endnote w:type="continuationSeparator" w:id="0">
    <w:p w14:paraId="028C3F44" w14:textId="77777777" w:rsidR="006130F5" w:rsidRDefault="006130F5" w:rsidP="0004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841CB" w14:textId="77777777" w:rsidR="00440456" w:rsidRDefault="00440456" w:rsidP="00B209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B96DAA9" w14:textId="77777777" w:rsidR="00440456" w:rsidRDefault="00440456" w:rsidP="004404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6A74" w14:textId="60ABE1DF" w:rsidR="00440456" w:rsidRPr="00B209D1" w:rsidRDefault="00B209D1" w:rsidP="00B209D1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B209D1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EBDE" w14:textId="77777777" w:rsidR="00440456" w:rsidRDefault="00440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3FB87" w14:textId="77777777" w:rsidR="006130F5" w:rsidRDefault="006130F5" w:rsidP="0004051B">
      <w:pPr>
        <w:spacing w:after="0" w:line="240" w:lineRule="auto"/>
      </w:pPr>
      <w:r>
        <w:separator/>
      </w:r>
    </w:p>
  </w:footnote>
  <w:footnote w:type="continuationSeparator" w:id="0">
    <w:p w14:paraId="48813BA7" w14:textId="77777777" w:rsidR="006130F5" w:rsidRDefault="006130F5" w:rsidP="0004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5514" w14:textId="77777777" w:rsidR="00440456" w:rsidRDefault="004404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03C4" w14:textId="61EA8C5B" w:rsidR="00440456" w:rsidRPr="00B209D1" w:rsidRDefault="00B209D1" w:rsidP="00B209D1">
    <w:pPr>
      <w:pStyle w:val="Header"/>
      <w:rPr>
        <w:rFonts w:ascii="Arial" w:hAnsi="Arial" w:cs="Arial"/>
        <w:color w:val="999999"/>
        <w:sz w:val="20"/>
        <w:lang w:val="ru-RU"/>
      </w:rPr>
    </w:pPr>
    <w:r w:rsidRPr="00B209D1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8084" w14:textId="77777777" w:rsidR="00440456" w:rsidRDefault="004404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051B"/>
    <w:rsid w:val="0006063C"/>
    <w:rsid w:val="0015074B"/>
    <w:rsid w:val="0029639D"/>
    <w:rsid w:val="00326F90"/>
    <w:rsid w:val="00440456"/>
    <w:rsid w:val="005372FC"/>
    <w:rsid w:val="006130F5"/>
    <w:rsid w:val="00A351AD"/>
    <w:rsid w:val="00AA1D8D"/>
    <w:rsid w:val="00B209D1"/>
    <w:rsid w:val="00B47730"/>
    <w:rsid w:val="00C1205E"/>
    <w:rsid w:val="00CB0664"/>
    <w:rsid w:val="00F15BD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43BA4CC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04051B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9">
    <w:name w:val="Para 09"/>
    <w:basedOn w:val="Normal"/>
    <w:qFormat/>
    <w:rsid w:val="0004051B"/>
    <w:pPr>
      <w:spacing w:after="0" w:line="372" w:lineRule="atLeast"/>
    </w:pPr>
    <w:rPr>
      <w:rFonts w:ascii="Cambria" w:eastAsia="Cambria" w:hAnsi="Cambria" w:cs="Times New Roman"/>
      <w:b/>
      <w:bCs/>
      <w:color w:val="000000"/>
      <w:sz w:val="31"/>
      <w:szCs w:val="31"/>
      <w:lang w:val="es" w:eastAsia="es"/>
    </w:rPr>
  </w:style>
  <w:style w:type="character" w:customStyle="1" w:styleId="00Text">
    <w:name w:val="00 Text"/>
    <w:rsid w:val="0004051B"/>
    <w:rPr>
      <w:i/>
      <w:iCs/>
    </w:rPr>
  </w:style>
  <w:style w:type="character" w:customStyle="1" w:styleId="04Text">
    <w:name w:val="04 Text"/>
    <w:rsid w:val="0004051B"/>
    <w:rPr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51B"/>
    <w:pPr>
      <w:spacing w:after="0" w:line="240" w:lineRule="auto"/>
      <w:ind w:hangingChars="250" w:hanging="250"/>
    </w:pPr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51B"/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styleId="FootnoteReference">
    <w:name w:val="footnote reference"/>
    <w:basedOn w:val="DefaultParagraphFont"/>
    <w:uiPriority w:val="99"/>
    <w:semiHidden/>
    <w:unhideWhenUsed/>
    <w:rsid w:val="0004051B"/>
    <w:rPr>
      <w:vertAlign w:val="superscript"/>
    </w:rPr>
  </w:style>
  <w:style w:type="paragraph" w:customStyle="1" w:styleId="Para26">
    <w:name w:val="Para 26"/>
    <w:basedOn w:val="Normal"/>
    <w:qFormat/>
    <w:rsid w:val="005372FC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440456"/>
  </w:style>
  <w:style w:type="paragraph" w:styleId="NormalWeb">
    <w:name w:val="Normal (Web)"/>
    <w:basedOn w:val="Normal"/>
    <w:uiPriority w:val="99"/>
    <w:semiHidden/>
    <w:unhideWhenUsed/>
    <w:rsid w:val="00B20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850</Words>
  <Characters>5069</Characters>
  <Application>Microsoft Office Word</Application>
  <DocSecurity>0</DocSecurity>
  <Lines>115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2026-06-16T01:58:00Z</dcterms:modified>
  <cp:category/>
</cp:coreProperties>
</file>